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center"/>
        <w:spacing w:before="0" w:after="0"/>
        <w:shd w:val="clear" w:color="ffffff" w:fill="ffffff"/>
        <w:rPr>
          <w:rFonts w:ascii="Tinos" w:hAnsi="Tinos" w:eastAsia="Arial" w:cs="Tinos"/>
          <w:b/>
          <w:bCs/>
          <w:i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b/>
          <w:bCs/>
          <w:i/>
          <w:iCs/>
          <w:color w:val="000000" w:themeColor="text1"/>
          <w:sz w:val="36"/>
          <w:szCs w:val="36"/>
          <w:highlight w:val="none"/>
        </w:rPr>
        <w:t xml:space="preserve">Социальный контракт - </w:t>
      </w:r>
      <w:r>
        <w:rPr>
          <w:rFonts w:ascii="Tinos" w:hAnsi="Tinos" w:cs="Tinos"/>
          <w:b/>
          <w:bCs/>
          <w:i/>
          <w:color w:val="000000" w:themeColor="text1"/>
          <w:sz w:val="32"/>
          <w:szCs w:val="32"/>
          <w:highlight w:val="white"/>
        </w:rPr>
      </w:r>
    </w:p>
    <w:p>
      <w:pPr>
        <w:ind w:left="0" w:right="0" w:firstLine="708"/>
        <w:jc w:val="center"/>
        <w:spacing w:before="0" w:after="0"/>
        <w:shd w:val="clear" w:color="ffffff" w:fill="ffffff"/>
        <w:rPr>
          <w:rFonts w:ascii="Tinos" w:hAnsi="Tinos" w:cs="Tinos"/>
          <w:b/>
          <w:bCs/>
          <w:i/>
          <w:color w:val="000000" w:themeColor="text1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b/>
          <w:bCs/>
          <w:i/>
          <w:iCs/>
          <w:color w:val="000000" w:themeColor="text1"/>
          <w:sz w:val="36"/>
          <w:szCs w:val="36"/>
          <w:highlight w:val="none"/>
        </w:rPr>
        <w:t xml:space="preserve">старт для развития личного подсобного хозяйства!</w:t>
      </w:r>
      <w:r>
        <w:rPr>
          <w:rFonts w:ascii="Tinos" w:hAnsi="Tinos" w:cs="Tinos"/>
          <w:sz w:val="32"/>
          <w:szCs w:val="32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nos" w:hAnsi="Tinos" w:cs="Tinos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sz w:val="24"/>
          <w:szCs w:val="24"/>
          <w:u w:val="none"/>
        </w:rPr>
      </w:r>
      <w:r>
        <w:rPr>
          <w:rFonts w:ascii="Tinos" w:hAnsi="Tinos" w:cs="Tinos"/>
          <w:color w:val="000000" w:themeColor="text1"/>
          <w:sz w:val="24"/>
          <w:szCs w:val="24"/>
          <w:highlight w:val="none"/>
          <w:u w:val="none"/>
        </w:rPr>
        <w:t xml:space="preserve">ОГКУ «УСЗН по Тайшетскому району» оказывает </w:t>
      </w:r>
      <w:r>
        <w:rPr>
          <w:rFonts w:ascii="Tinos" w:hAnsi="Tinos" w:cs="Tinos"/>
          <w:sz w:val="24"/>
          <w:szCs w:val="24"/>
          <w:u w:val="none"/>
        </w:rPr>
        <w:t xml:space="preserve"> государственную социальную помощь на основ</w:t>
      </w:r>
      <w:r>
        <w:rPr>
          <w:rFonts w:ascii="Tinos" w:hAnsi="Tinos" w:cs="Tinos"/>
          <w:sz w:val="24"/>
          <w:szCs w:val="24"/>
          <w:u w:val="none"/>
        </w:rPr>
        <w:t xml:space="preserve">ании</w:t>
      </w:r>
      <w:r>
        <w:rPr>
          <w:rFonts w:ascii="Tinos" w:hAnsi="Tinos" w:cs="Tinos"/>
          <w:sz w:val="24"/>
          <w:szCs w:val="24"/>
          <w:u w:val="none"/>
        </w:rPr>
        <w:t xml:space="preserve"> социального контракта</w:t>
      </w:r>
      <w:r>
        <w:rPr>
          <w:rFonts w:ascii="Tinos" w:hAnsi="Tinos" w:cs="Tinos"/>
          <w:sz w:val="24"/>
          <w:szCs w:val="24"/>
          <w:u w:val="none"/>
        </w:rPr>
        <w:t xml:space="preserve"> на 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u w:val="none"/>
        </w:rPr>
        <w:t xml:space="preserve">ведение личного подсобного хозяйства</w:t>
      </w:r>
      <w:r>
        <w:rPr>
          <w:rFonts w:ascii="Tinos" w:hAnsi="Tinos" w:cs="Tinos"/>
          <w:b/>
          <w:bCs/>
          <w:sz w:val="24"/>
          <w:szCs w:val="24"/>
          <w:u w:val="none"/>
        </w:rPr>
        <w:t xml:space="preserve">.</w:t>
      </w:r>
      <w:r>
        <w:rPr>
          <w:rFonts w:ascii="Tinos" w:hAnsi="Tinos" w:cs="Tinos"/>
          <w:b/>
          <w:bCs/>
          <w:sz w:val="24"/>
          <w:szCs w:val="24"/>
          <w:u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ind w:firstLine="708"/>
        <w:jc w:val="both"/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</w:pP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Условия: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среднедушевой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доход ниже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величины прожиточного минимума на душу населения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установленного Правительством Иркутской области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по иным местностям ( на 2024 г. - 15 315 руб.),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обусловленный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объективными обстоятельствами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, не зависящими от них самих (инвалидность, потеря кормильца, безработица, поиск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работы, утрата (повреждение) движимого имущества, повреждение жилого помещения, утрата (разрушение) жилого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помещения, получение образования по очной форме обучения за счет бюджетных ассигнований федерального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бюджета, областного бюджета, длительное и (или) дорогостоящее лечение, уход за ребенком в возрасте от 1,5 до 3 лет,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ребенком-инвалидом, инвалидом I группы, многодетные семья,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семьи с единственным родителем ребенка (детей)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семьи участников специальной военной операции, проводимой с 24 февраля 2022 года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(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к участникам специальной военной операции относятся граждане Российской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Федерации, указанные в части 2 статьи 1 Закона Иркутской области от 7 июля 2022 года N 53-ОЗ "О дополнительных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мерах социальной поддержки участников специальной военной операции и членов их семей")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 и тому подобное).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</w:r>
    </w:p>
    <w:p>
      <w:pPr>
        <w:pStyle w:val="821"/>
        <w:ind w:firstLine="708"/>
        <w:jc w:val="both"/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!!! </w:t>
      </w:r>
      <w:r>
        <w:rPr>
          <w:rFonts w:ascii="Tinos" w:hAnsi="Tinos" w:cs="Tinos"/>
          <w:b/>
          <w:bCs/>
          <w:sz w:val="24"/>
          <w:szCs w:val="24"/>
        </w:rPr>
        <w:t xml:space="preserve">Наличие у семьи (гражданина) земельного участка в собственности или пользовании, предназначенного для ведения личного подсобного хозяйства.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21"/>
        <w:ind w:firstLine="708"/>
        <w:jc w:val="both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21"/>
        <w:ind w:firstLine="708"/>
        <w:jc w:val="both"/>
        <w:rPr>
          <w:rFonts w:ascii="Tinos" w:hAnsi="Tinos" w:cs="Tinos"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4"/>
          <w:szCs w:val="24"/>
        </w:rPr>
        <w:t xml:space="preserve">Размер социальной выплаты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 - </w:t>
      </w:r>
      <w:r>
        <w:rPr>
          <w:rFonts w:ascii="Tinos" w:hAnsi="Tinos" w:eastAsia="Arial" w:cs="Tinos"/>
          <w:sz w:val="24"/>
          <w:szCs w:val="24"/>
        </w:rPr>
        <w:t xml:space="preserve">в размере </w:t>
      </w:r>
      <w:r>
        <w:rPr>
          <w:rFonts w:ascii="Tinos" w:hAnsi="Tinos" w:eastAsia="Arial" w:cs="Tinos"/>
          <w:b/>
          <w:bCs/>
          <w:sz w:val="24"/>
          <w:szCs w:val="24"/>
        </w:rPr>
        <w:t xml:space="preserve">не более 200 тыс.</w:t>
      </w:r>
      <w:r>
        <w:rPr>
          <w:rFonts w:ascii="Tinos" w:hAnsi="Tinos" w:eastAsia="Arial" w:cs="Tinos"/>
          <w:sz w:val="24"/>
          <w:szCs w:val="24"/>
        </w:rPr>
        <w:t xml:space="preserve"> рублей единовременно или по частям в зависимости от этапа исполнения мероприятий программы социальной адаптации и бизнес-плана, одобренных межведомственной комиссией.</w:t>
      </w: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ind w:firstLine="708"/>
        <w:jc w:val="both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color w:val="000000" w:themeColor="text1"/>
          <w:sz w:val="24"/>
          <w:szCs w:val="24"/>
          <w:highlight w:val="none"/>
        </w:rPr>
      </w:r>
      <w:r>
        <w:rPr>
          <w:rFonts w:ascii="Tinos" w:hAnsi="Tinos" w:eastAsia="Arial" w:cs="Tinos"/>
          <w:sz w:val="24"/>
          <w:szCs w:val="24"/>
        </w:rPr>
        <w:t xml:space="preserve">Прохождение профессионального обучения или получение дополнительного профессионального образования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  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в рамках социального контракта – </w:t>
      </w:r>
      <w:r>
        <w:rPr>
          <w:rFonts w:ascii="Tinos" w:hAnsi="Tinos" w:eastAsia="Arial" w:cs="Tinos"/>
          <w:sz w:val="24"/>
          <w:szCs w:val="24"/>
        </w:rPr>
        <w:t xml:space="preserve">в размере </w:t>
      </w:r>
      <w:r>
        <w:rPr>
          <w:rFonts w:ascii="Tinos" w:hAnsi="Tinos" w:eastAsia="Arial" w:cs="Tinos"/>
          <w:b/>
          <w:bCs/>
          <w:sz w:val="24"/>
          <w:szCs w:val="24"/>
        </w:rPr>
        <w:t xml:space="preserve">не более 30 тыс.р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ублей 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и сроком не более  трех месяцев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.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ind w:firstLine="708"/>
        <w:jc w:val="both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21"/>
        <w:ind w:firstLine="708"/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Для заключения социального контракта необходимо: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подать заявление;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пройти тестирование;</w:t>
      </w:r>
      <w:r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зарегистрироваться в качестве плательщика на профессиональный доход (самозанятым) или индивидуальным предпринимателем.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pStyle w:val="821"/>
        <w:ind w:firstLine="708"/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</w:p>
    <w:p>
      <w:pPr>
        <w:ind w:firstLine="708"/>
        <w:jc w:val="both"/>
        <w:rPr>
          <w:rFonts w:ascii="Tinos" w:hAnsi="Tinos" w:cs="Tinos"/>
          <w:b/>
          <w:bCs/>
          <w:sz w:val="24"/>
          <w:szCs w:val="24"/>
        </w:rPr>
      </w:pPr>
      <w:r>
        <w:rPr>
          <w:rFonts w:ascii="Tinos" w:hAnsi="Tinos" w:eastAsia="Open Sans" w:cs="Tinos"/>
          <w:color w:val="000000" w:themeColor="text1"/>
          <w:sz w:val="24"/>
          <w:szCs w:val="24"/>
        </w:rPr>
      </w:r>
      <w:r/>
      <w:r>
        <w:rPr>
          <w:rFonts w:ascii="Tinos" w:hAnsi="Tinos" w:eastAsia="Open Sans" w:cs="Tinos"/>
          <w:color w:val="000000" w:themeColor="text1"/>
          <w:sz w:val="24"/>
          <w:szCs w:val="24"/>
        </w:rPr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Подать заявление на предоставление государственной социальной помощи можно через Портал предоставления государственных и муниципальных услуг, про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йдя по ссылк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е</w:t>
      </w:r>
      <w:hyperlink r:id="rId10" w:tooltip="https://gosuslugi.ru/600238/1" w:history="1">
        <w:r>
          <w:rPr>
            <w:rStyle w:val="800"/>
            <w:rFonts w:ascii="Tinos" w:hAnsi="Tinos" w:eastAsia="Ubuntu" w:cs="Tinos"/>
            <w:color w:val="000000" w:themeColor="text1"/>
            <w:spacing w:val="3"/>
            <w:sz w:val="24"/>
            <w:szCs w:val="24"/>
            <w:highlight w:val="none"/>
          </w:rPr>
          <w:t xml:space="preserve">: </w:t>
        </w:r>
        <w:r>
          <w:rPr>
            <w:rStyle w:val="800"/>
            <w:rFonts w:ascii="Tinos" w:hAnsi="Tinos" w:eastAsia="Ubuntu" w:cs="Tinos"/>
            <w:b/>
            <w:bCs/>
            <w:color w:val="000000" w:themeColor="text1"/>
            <w:spacing w:val="3"/>
            <w:sz w:val="24"/>
            <w:szCs w:val="24"/>
            <w:highlight w:val="none"/>
          </w:rPr>
          <w:t xml:space="preserve">https://gosuslugi.ru/600238/1</w:t>
        </w:r>
      </w:hyperlink>
      <w:r>
        <w:rPr>
          <w:rFonts w:ascii="Tinos" w:hAnsi="Tinos" w:cs="Tinos"/>
          <w:b/>
          <w:bCs/>
          <w:sz w:val="24"/>
          <w:szCs w:val="24"/>
        </w:rPr>
      </w:r>
      <w:r>
        <w:rPr>
          <w:rFonts w:ascii="Tinos" w:hAnsi="Tinos" w:cs="Tinos"/>
          <w:b/>
          <w:bCs/>
          <w:sz w:val="24"/>
          <w:szCs w:val="24"/>
        </w:rPr>
      </w:r>
    </w:p>
    <w:p>
      <w:pPr>
        <w:ind w:firstLine="708"/>
        <w:jc w:val="both"/>
        <w:rPr>
          <w:rFonts w:ascii="Tinos" w:hAnsi="Tinos" w:cs="Tinos"/>
          <w:b/>
          <w:bCs/>
          <w:sz w:val="24"/>
          <w:szCs w:val="24"/>
        </w:rPr>
      </w:pPr>
      <w:r>
        <w:rPr>
          <w:rFonts w:ascii="Tinos" w:hAnsi="Tinos" w:cs="Tinos"/>
          <w:b/>
          <w:bCs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  <wp:simplePos x="0" y="0"/>
                <wp:positionH relativeFrom="column">
                  <wp:posOffset>2089669</wp:posOffset>
                </wp:positionH>
                <wp:positionV relativeFrom="paragraph">
                  <wp:posOffset>641497</wp:posOffset>
                </wp:positionV>
                <wp:extent cx="2292805" cy="229280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98905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292805" cy="229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9216;o:allowoverlap:true;o:allowincell:true;mso-position-horizontal-relative:text;margin-left:164.5pt;mso-position-horizontal:absolute;mso-position-vertical-relative:text;margin-top:50.5pt;mso-position-vertical:absolute;width:180.5pt;height:180.5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nos" w:hAnsi="Tinos" w:cs="Tinos"/>
          <w:b/>
          <w:bCs/>
          <w:sz w:val="24"/>
          <w:szCs w:val="24"/>
        </w:rPr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По  вопросам заключения социального контракта, можно обратиться в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ОГКУ "УСЗН по Тайшетскому району"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 по адресу :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г. Тайшет,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м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/н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Пахотищева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, 24 Н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, кабинет 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№ 1 или по </w:t>
      </w:r>
      <w:r>
        <w:rPr>
          <w:rFonts w:ascii="Tinos" w:hAnsi="Tinos" w:eastAsia="Arial" w:cs="Tinos"/>
          <w:color w:val="000000" w:themeColor="text1"/>
          <w:sz w:val="24"/>
          <w:szCs w:val="24"/>
        </w:rPr>
        <w:t xml:space="preserve"> тел.: 8/39563/-2-69-14</w:t>
      </w:r>
      <w:r>
        <w:rPr>
          <w:rFonts w:ascii="Tinos" w:hAnsi="Tinos" w:eastAsia="Arial" w:cs="Tinos"/>
          <w:color w:val="000000" w:themeColor="text1"/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rFonts w:ascii="Tinos" w:hAnsi="Tinos" w:cs="Tinos"/>
          <w:b/>
          <w:bCs/>
          <w:sz w:val="24"/>
          <w:szCs w:val="24"/>
        </w:rPr>
      </w:r>
      <w:r>
        <w:rPr>
          <w:sz w:val="24"/>
          <w:szCs w:val="24"/>
        </w:rPr>
      </w:r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604030504040204"/>
  </w:font>
  <w:font w:name="Open Sans">
    <w:panose1 w:val="020B0606030504020204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jc w:val="right"/>
      <w:rPr>
        <w:rFonts w:ascii="Tinos" w:hAnsi="Tinos" w:cs="Tinos"/>
        <w:sz w:val="24"/>
        <w:szCs w:val="24"/>
      </w:rPr>
    </w:pPr>
    <w:r>
      <w:rPr>
        <w:rFonts w:ascii="Tinos" w:hAnsi="Tinos" w:cs="Tinos"/>
        <w:sz w:val="24"/>
        <w:szCs w:val="24"/>
      </w:rPr>
      <w:t xml:space="preserve">01.04.2024</w:t>
    </w:r>
    <w:r>
      <w:rPr>
        <w:rFonts w:ascii="Tinos" w:hAnsi="Tinos" w:cs="Tinos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gosuslugi.ru/600238/1" TargetMode="External"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2024-04-09T01:31:01Z</dcterms:modified>
</cp:coreProperties>
</file>