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54DE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A454DE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A454DE">
        <w:rPr>
          <w:rFonts w:ascii="Times New Roman" w:hAnsi="Times New Roman" w:cs="Times New Roman"/>
          <w:sz w:val="32"/>
          <w:szCs w:val="32"/>
        </w:rPr>
        <w:t xml:space="preserve"> и й с</w:t>
      </w:r>
      <w:r w:rsidRPr="0084584D">
        <w:rPr>
          <w:rFonts w:ascii="Times New Roman" w:hAnsi="Times New Roman" w:cs="Times New Roman"/>
          <w:sz w:val="32"/>
          <w:szCs w:val="32"/>
        </w:rPr>
        <w:t xml:space="preserve"> к а я      Ф е д е р а ц и я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РЕШЕНИЕ</w:t>
      </w:r>
    </w:p>
    <w:p w:rsidR="00B75F1E" w:rsidRPr="0084584D" w:rsidRDefault="00B75F1E" w:rsidP="00B75F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75F1E" w:rsidRPr="00FF7AD6" w:rsidTr="00F34FE7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5F1E" w:rsidRPr="00FF7AD6" w:rsidRDefault="00B75F1E" w:rsidP="00F34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1E" w:rsidRPr="00FF7AD6" w:rsidRDefault="00B75F1E" w:rsidP="00B15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03E6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2021 г.                         </w:t>
            </w:r>
            <w:r w:rsidR="000703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          №  </w:t>
            </w:r>
            <w:r w:rsidR="00070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инициативных проектов для реализации на территории,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В соответствии со статьей 26 Федерального закона от 06.10.2003 №131-ФЗ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Российской Федерации», Порядком реализации инициативных проектов в</w:t>
      </w:r>
      <w:r>
        <w:rPr>
          <w:rFonts w:ascii="Times New Roman" w:hAnsi="Times New Roman" w:cs="Times New Roman"/>
          <w:sz w:val="24"/>
          <w:szCs w:val="24"/>
        </w:rPr>
        <w:t xml:space="preserve"> Черчетском</w:t>
      </w:r>
      <w:r w:rsidRPr="00FF7AD6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FF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FF7A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3B97">
        <w:rPr>
          <w:rFonts w:ascii="Times New Roman" w:hAnsi="Times New Roman" w:cs="Times New Roman"/>
          <w:sz w:val="24"/>
          <w:szCs w:val="24"/>
        </w:rPr>
        <w:t xml:space="preserve"> от 11.10.2021г № 11</w:t>
      </w:r>
      <w:r w:rsidR="00B15D94">
        <w:rPr>
          <w:rFonts w:ascii="Times New Roman" w:hAnsi="Times New Roman" w:cs="Times New Roman"/>
          <w:sz w:val="24"/>
          <w:szCs w:val="24"/>
        </w:rPr>
        <w:t>0</w:t>
      </w:r>
      <w:r w:rsidR="00153B97">
        <w:rPr>
          <w:rFonts w:ascii="Times New Roman" w:hAnsi="Times New Roman" w:cs="Times New Roman"/>
          <w:sz w:val="24"/>
          <w:szCs w:val="24"/>
        </w:rPr>
        <w:t xml:space="preserve">, </w:t>
      </w:r>
      <w:r w:rsidRPr="00FF7AD6">
        <w:rPr>
          <w:rFonts w:ascii="Times New Roman" w:hAnsi="Times New Roman" w:cs="Times New Roman"/>
          <w:sz w:val="24"/>
          <w:szCs w:val="24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</w:rPr>
        <w:t xml:space="preserve">ом Черчетского муниципального образования  </w:t>
      </w:r>
      <w:r w:rsidRPr="00FF7AD6">
        <w:rPr>
          <w:rFonts w:ascii="Times New Roman" w:hAnsi="Times New Roman" w:cs="Times New Roman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sz w:val="24"/>
          <w:szCs w:val="24"/>
        </w:rPr>
        <w:t>Черчетского муниципального образования</w:t>
      </w: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РЕШИЛА: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Порядок проведения конкурсного отбора инициативных проектов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реализации на территории, части территории </w:t>
      </w:r>
      <w:r w:rsidRPr="00FF7AD6">
        <w:rPr>
          <w:rFonts w:ascii="Times New Roman" w:hAnsi="Times New Roman" w:cs="Times New Roman"/>
          <w:iCs/>
          <w:sz w:val="24"/>
          <w:szCs w:val="24"/>
        </w:rPr>
        <w:t>Черчетского муниципального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Pr="00FF7AD6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Положение о конкурсной комиссии по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конкурсного отбора инициативных проектов согласно приложению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7AD6">
        <w:rPr>
          <w:rFonts w:ascii="Times New Roman" w:hAnsi="Times New Roman" w:cs="Times New Roman"/>
          <w:sz w:val="24"/>
          <w:szCs w:val="24"/>
        </w:rPr>
        <w:t>астоящее Решение опубликова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F7A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бюллетене нормативно правовых актов «Официальные  вести</w:t>
      </w:r>
      <w:r w:rsidRPr="00DB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образования» </w:t>
      </w:r>
      <w:r w:rsidRPr="00FF7AD6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01.01.2021</w:t>
      </w: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5F1E" w:rsidRDefault="0033350F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A5DA8B" wp14:editId="1FBDDDF1">
            <wp:extent cx="6217596" cy="1354977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86" cy="13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5F1E" w:rsidRPr="00DB417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4176">
        <w:rPr>
          <w:rFonts w:ascii="Times New Roman" w:hAnsi="Times New Roman" w:cs="Times New Roman"/>
        </w:rPr>
        <w:lastRenderedPageBreak/>
        <w:t>Приложение 1</w:t>
      </w:r>
    </w:p>
    <w:p w:rsidR="00B75F1E" w:rsidRPr="00DB417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 xml:space="preserve">к Решению </w:t>
      </w:r>
      <w:proofErr w:type="gramStart"/>
      <w:r w:rsidRPr="00DB4176">
        <w:rPr>
          <w:rFonts w:ascii="Times New Roman" w:hAnsi="Times New Roman" w:cs="Times New Roman"/>
        </w:rPr>
        <w:t>представительного</w:t>
      </w:r>
      <w:proofErr w:type="gramEnd"/>
    </w:p>
    <w:p w:rsidR="00B75F1E" w:rsidRPr="00DB417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органа муниципального</w:t>
      </w:r>
    </w:p>
    <w:p w:rsidR="00B75F1E" w:rsidRPr="00DB417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образования</w:t>
      </w:r>
    </w:p>
    <w:p w:rsidR="00B75F1E" w:rsidRPr="00DB417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от</w:t>
      </w:r>
      <w:r w:rsidR="00D2415A">
        <w:rPr>
          <w:rFonts w:ascii="Times New Roman" w:hAnsi="Times New Roman" w:cs="Times New Roman"/>
        </w:rPr>
        <w:t xml:space="preserve"> </w:t>
      </w:r>
      <w:r w:rsidR="000703E6">
        <w:rPr>
          <w:rFonts w:ascii="Times New Roman" w:hAnsi="Times New Roman" w:cs="Times New Roman"/>
        </w:rPr>
        <w:t>11.10.</w:t>
      </w:r>
      <w:r w:rsidRPr="00DB4176">
        <w:rPr>
          <w:rFonts w:ascii="Times New Roman" w:hAnsi="Times New Roman" w:cs="Times New Roman"/>
        </w:rPr>
        <w:t>2021 г. №</w:t>
      </w:r>
      <w:r w:rsidR="000703E6">
        <w:rPr>
          <w:rFonts w:ascii="Times New Roman" w:hAnsi="Times New Roman" w:cs="Times New Roman"/>
        </w:rPr>
        <w:t>11</w:t>
      </w:r>
      <w:r w:rsidR="004D6A99">
        <w:rPr>
          <w:rFonts w:ascii="Times New Roman" w:hAnsi="Times New Roman" w:cs="Times New Roman"/>
        </w:rPr>
        <w:t>1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конкурсного отбора инициативных проектов </w:t>
      </w:r>
      <w:proofErr w:type="gramStart"/>
      <w:r w:rsidRPr="00FF7AD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реализации на территории, части территории (наименование)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конкурсного отбора инициативных проектов для реализации на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части территории (наименование) муниципального образования (далее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>орядок, конкурсный отбор).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2. Конкурсный отбор проводится в случае, если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 внесено несколько инициативных проектов,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том числе с описанием аналогичных по содержанию приоритетных проблем.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 Целью проведения конкурсного отбора является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наиболее социально значимых инициативных проектов для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бюджетных ассигнований на их реализацию.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4. Конкурсному отбору подлежат инициативные проекты,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их инициаторами.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Участниками конкурсного отбора являются инициаторы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внесенных (далее - участники конкурсного отбора).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5. К участию в конкурсном отборе допускаются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администрацию МО инициативные проекты, соответствующие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установленным статьей 261 Федерального закона от 06.10.2003 № 131-ФЭ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Федерации».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2. </w:t>
      </w:r>
      <w:r w:rsidRPr="00FF7AD6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конкурсного отбора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6. Проведение конкурсного отбора осуществляется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комиссией по проведению конкурсного отбора инициативных проектов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территории муниципального образования (далее - конкурсная комиссия).</w:t>
      </w: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7. Конкурсная комиссия осуществляет свою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соответствии с Положением о конкурсной комиссии по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проведению конкурсного отбора инициативных проектов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ложению 2 к настоящему Решению.</w:t>
      </w:r>
      <w:r w:rsidRPr="00FF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8. Организатором конкурсного отбора является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образования, которая осуществляет следующие функции: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формирует конкурсную комиссию;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4) готовит извещение о проведении конкурсного отбора,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его опубликование </w:t>
      </w:r>
      <w:r>
        <w:rPr>
          <w:rFonts w:ascii="Times New Roman" w:hAnsi="Times New Roman" w:cs="Times New Roman"/>
          <w:sz w:val="24"/>
          <w:szCs w:val="24"/>
        </w:rPr>
        <w:t>бюллетене нормативно правовых актов «Официальные  вести</w:t>
      </w:r>
      <w:r w:rsidRPr="00DB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образования» </w:t>
      </w:r>
      <w:r w:rsidRPr="00FF7AD6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5) передает в конкурсную комиссию инициативные проекты,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поступившие в Администрацию муниципального образования и допущенные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 конкурсному отбору, с приложением к каждому инициативному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а) информации в произвольной письменной форме об отнесении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инициативного проекта к вопросам местного значения, в рамках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планируется реализация инициативного проекта;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6) выписки из решения о бюджете или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бюджета муниципального образования о бюджетных ассигнованиях,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предусмотренных на реализацию инициативного проекта в текущем году;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lastRenderedPageBreak/>
        <w:t>в) гарантийного письма в произвольной письменной форме 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организаций, ТОС, ТСЖ, населения муниципального образования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FF7A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F7AD6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оказания ими содействия в реализации инициативного проекта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трудовых ресурсов;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б) назначает дату первого заседания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7) осуществляет техническое обеспечение деятельности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8) доводит до сведения участников конкурсного отбора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конкурсного отбора.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проектов в срок не более 20 дней со дня их поступления.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10. Конкурсный отбор инициативных проектов и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осуществляются конкурсной комиссией в соответствии с критериями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проектов, указанными в приложении к настоящему Порядку.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11. Инициатор проекта не менее чем за 5 дней до даты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конкурсного отбора имеет право отозвать свой инициативный проект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отказаться от участия в конкурсном отборе, сообщив об этом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организатору конкурсного отбора.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12. При проведении конкурсного отбора конкурсная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осуществляет ранжирование инициативных проектов по набранному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количеству баллов.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13. Победителями конкурсного отбора признаются инициативные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проекты, набравшие наибольшее количество баллов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остальным инициативным проектам, с учетом общей суммы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ассигнований местного бюджета, предусмотренных на </w:t>
      </w:r>
      <w:proofErr w:type="spellStart"/>
      <w:r w:rsidRPr="00FF7AD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инициативных проектов в муниципальном образовании в 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финансовом году.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 xml:space="preserve"> если два или более инициативных проекта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равную оценку, наиболее высокий рейтинг присваивается инициативному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проекту объем привлекаемых средств, из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финансирования которого больше.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15. В случае одинакового объема привлекаемых средств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внебюджетных источников финансирования более высокий 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присваивается участнику с наиболее ранней датой внесения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проекта.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16. По результатам заседания конкурсной комиссии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протокол заседания комиссии, который подписывается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конкурсной комиссии и секретарем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17. Конкурсная комиссия формирует перечень прошедших конкурсный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отбор проектов, набравших наибольшее количество баллов,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представляет в администрацию муниципального образования в течение 3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со дня проведения заседания.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18. Организатор конкурсного отбора в течение 10 дней после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решения конкурсной комиссией доводит до сведения инициатора проекта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результаты.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19. Список инициативных проектов-победителей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7AD6">
        <w:rPr>
          <w:rFonts w:ascii="Times New Roman" w:hAnsi="Times New Roman" w:cs="Times New Roman"/>
          <w:sz w:val="24"/>
          <w:szCs w:val="24"/>
        </w:rPr>
        <w:t>лением администрации МО и размещается на сайте.</w:t>
      </w: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20. Заявки, документы и материалы, прошедшие конкурсный отбор,</w:t>
      </w:r>
      <w:r w:rsidR="00D2415A"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участникам конкурсного отбора не возвращаются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реализации на территории, части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Черчетского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инициативных проектов, представленных для конкурсного отбора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4296"/>
        <w:gridCol w:w="1090"/>
        <w:gridCol w:w="1963"/>
        <w:gridCol w:w="1408"/>
      </w:tblGrid>
      <w:tr w:rsidR="00B75F1E" w:rsidTr="00F34FE7">
        <w:tc>
          <w:tcPr>
            <w:tcW w:w="814" w:type="dxa"/>
          </w:tcPr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№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413F">
              <w:rPr>
                <w:rFonts w:ascii="Times New Roman" w:hAnsi="Times New Roman" w:cs="Times New Roman"/>
              </w:rPr>
              <w:t>п</w:t>
            </w:r>
            <w:proofErr w:type="gramEnd"/>
            <w:r w:rsidRPr="00A141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6" w:type="dxa"/>
          </w:tcPr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Наименования критериев конкурсного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отбора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  <w:gridSpan w:val="2"/>
          </w:tcPr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Значения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критериев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конкурсного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отбора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</w:tcPr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413F">
              <w:rPr>
                <w:rFonts w:ascii="Times New Roman" w:hAnsi="Times New Roman" w:cs="Times New Roman"/>
              </w:rPr>
              <w:t>Количество баллов</w:t>
            </w:r>
          </w:p>
          <w:p w:rsidR="00B75F1E" w:rsidRPr="00A1413F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F1E" w:rsidTr="00F34FE7"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5F1E" w:rsidTr="00F34FE7"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7" w:type="dxa"/>
            <w:gridSpan w:val="4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75F1E" w:rsidTr="00F34FE7">
        <w:trPr>
          <w:trHeight w:val="273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408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F1E" w:rsidTr="00F34FE7"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31 до 60% 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F1E" w:rsidTr="00F34FE7">
        <w:trPr>
          <w:trHeight w:val="280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0 до 30% 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F1E" w:rsidTr="00F34FE7"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более 5 лет 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5F1E" w:rsidTr="00F34FE7">
        <w:trPr>
          <w:trHeight w:val="262"/>
        </w:trPr>
        <w:tc>
          <w:tcPr>
            <w:tcW w:w="814" w:type="dxa"/>
            <w:vMerge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1 года до 5лет</w:t>
            </w:r>
          </w:p>
        </w:tc>
        <w:tc>
          <w:tcPr>
            <w:tcW w:w="1408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F1E" w:rsidTr="00F34FE7">
        <w:tc>
          <w:tcPr>
            <w:tcW w:w="814" w:type="dxa"/>
            <w:vMerge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0 до 1 года 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c>
          <w:tcPr>
            <w:tcW w:w="814" w:type="dxa"/>
            <w:vMerge w:val="restart"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реализации инициативного проекта,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F1E" w:rsidTr="00F34FE7">
        <w:tc>
          <w:tcPr>
            <w:tcW w:w="814" w:type="dxa"/>
            <w:vMerge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c>
          <w:tcPr>
            <w:tcW w:w="814" w:type="dxa"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49" w:type="dxa"/>
            <w:gridSpan w:val="3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 определении и решении проблемы, заявленной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инициативном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(оценивается по количеству членов инициативной группы,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собрания, поступивших в администрацию предложений и замечаний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проекту)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F1E" w:rsidTr="00F34FE7">
        <w:tc>
          <w:tcPr>
            <w:tcW w:w="814" w:type="dxa"/>
            <w:vMerge w:val="restart"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инициативный проект</w:t>
            </w:r>
          </w:p>
        </w:tc>
        <w:tc>
          <w:tcPr>
            <w:tcW w:w="1963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c>
          <w:tcPr>
            <w:tcW w:w="814" w:type="dxa"/>
            <w:vMerge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c>
          <w:tcPr>
            <w:tcW w:w="814" w:type="dxa"/>
            <w:vMerge w:val="restart"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(размер, объем) </w:t>
            </w: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F1E" w:rsidTr="00F34FE7">
        <w:trPr>
          <w:trHeight w:val="34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8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отбора приоритетной проблемы и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разработки 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8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8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7" w:type="dxa"/>
            <w:gridSpan w:val="4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средняя - проблема достаточно широко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осознается целевой группой населения, ее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решение может привести к улучшению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качества жизни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75F1E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высокая - отсутствие решения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негативно сказываться на качестве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необходимо для поддержания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сохранения условий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9" w:type="dxa"/>
            <w:gridSpan w:val="3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на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окружающей среды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населения: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предусматривается 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обустройством территории населенного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пункта (озеленение, расчистка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обустройство водных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ликвидация свалок и т.п.)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gridSpan w:val="2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наличие проектов,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уменьшением негативного воздействия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(обустройство парковых зон,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и реконструкция очистных сооружений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9" w:type="dxa"/>
            <w:gridSpan w:val="3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Вклад участников реализации проекта в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егофинансирование</w:t>
            </w:r>
            <w:proofErr w:type="spellEnd"/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стороны бюджета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5% и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3% до 5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до 3% 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F1E" w:rsidTr="00F34FE7">
        <w:trPr>
          <w:trHeight w:val="380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gram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стороны населения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1 %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rPr>
          <w:trHeight w:val="268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gram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стороны организаций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от 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0,5% до 1% 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F1E" w:rsidTr="00F34FE7">
        <w:trPr>
          <w:trHeight w:val="276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408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F1E" w:rsidTr="00F34FE7">
        <w:trPr>
          <w:trHeight w:val="276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материалы и другие формы)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rPr>
          <w:trHeight w:val="283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1E" w:rsidTr="00F34FE7">
        <w:trPr>
          <w:trHeight w:val="419"/>
        </w:trPr>
        <w:tc>
          <w:tcPr>
            <w:tcW w:w="814" w:type="dxa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6" w:type="dxa"/>
            <w:gridSpan w:val="2"/>
            <w:vMerge w:val="restart"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</w:t>
            </w:r>
            <w:proofErr w:type="spellStart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участие, материалы и другие формы)</w:t>
            </w: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1E" w:rsidTr="00F34FE7">
        <w:trPr>
          <w:trHeight w:val="225"/>
        </w:trPr>
        <w:tc>
          <w:tcPr>
            <w:tcW w:w="814" w:type="dxa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75F1E" w:rsidRPr="00CA1EFB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08" w:type="dxa"/>
            <w:vAlign w:val="center"/>
          </w:tcPr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5F1E" w:rsidRPr="00FF7AD6" w:rsidRDefault="00B75F1E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органа муниципального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2415A">
        <w:rPr>
          <w:rFonts w:ascii="Times New Roman" w:hAnsi="Times New Roman" w:cs="Times New Roman"/>
          <w:sz w:val="24"/>
          <w:szCs w:val="24"/>
        </w:rPr>
        <w:t xml:space="preserve"> </w:t>
      </w:r>
      <w:r w:rsidR="000703E6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2021 г.№</w:t>
      </w:r>
      <w:r w:rsidR="000703E6">
        <w:rPr>
          <w:rFonts w:ascii="Times New Roman" w:hAnsi="Times New Roman" w:cs="Times New Roman"/>
          <w:sz w:val="24"/>
          <w:szCs w:val="24"/>
        </w:rPr>
        <w:t xml:space="preserve"> 11</w:t>
      </w:r>
      <w:r w:rsidR="004D6A99">
        <w:rPr>
          <w:rFonts w:ascii="Times New Roman" w:hAnsi="Times New Roman" w:cs="Times New Roman"/>
          <w:sz w:val="24"/>
          <w:szCs w:val="24"/>
        </w:rPr>
        <w:t>1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конкурсной комиссии по организации и проведению </w:t>
      </w:r>
      <w:proofErr w:type="gramStart"/>
      <w:r w:rsidRPr="00FF7AD6">
        <w:rPr>
          <w:rFonts w:ascii="Times New Roman" w:hAnsi="Times New Roman" w:cs="Times New Roman"/>
          <w:b/>
          <w:bCs/>
          <w:sz w:val="24"/>
          <w:szCs w:val="24"/>
        </w:rPr>
        <w:t>конкурсного</w:t>
      </w:r>
      <w:proofErr w:type="gramEnd"/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отбора инициативных проектов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конкурсной комиссии по организации и проведению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инициативных проектов (далее — конкурсная комиссия, комиссия).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1.2. Конкурсная комиссия осуществляет свою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федеральных законов,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конкурсного отбора инициативного проекта для реализации на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части территории (наименование) муниципального образования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Порядок проведения конкурсного отбора) и настоящего Положения.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1.3. Конкурсная комиссия формируется администрацией МО.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При формировании конкурсной комиссии половина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членов конкурсной комиссии назначается на основе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1.4. Состав конкурсной комиссии утверждается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администрации МО.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2. Основные задачи, функции и права конкурсной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2.1. Основной задачей конкурсной комиссии является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лучшего, из числа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 xml:space="preserve"> на конкурсный отбор,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проекта для реализации на территории, части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2.2. Основными функциями конкурсной комиссии являются: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размещение информации о ходе проведения конкурсном отборе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официальном сайте администрации МО в сети «Интернет»;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информирование администрации МО и инициаторов проектов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вопросам организации и проведения конкурсного отбора;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4) формирование перечня прошедших конкурсный отбор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набравших наибольшее количество баллов;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5) решение иных вопросов при организации и проведении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отбора.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2.3. Для решения возложенных на конкурсную комиссию функций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запрашивать в установленном порядке и получать от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МО, инициаторов проектов информацию по вопросам, относящимся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компетенции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привлекать специалистов для проведения ими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представленных документов.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3. </w:t>
      </w:r>
      <w:r w:rsidRPr="00FF7AD6">
        <w:rPr>
          <w:rFonts w:ascii="Times New Roman" w:hAnsi="Times New Roman" w:cs="Times New Roman"/>
          <w:b/>
          <w:bCs/>
          <w:sz w:val="24"/>
          <w:szCs w:val="24"/>
        </w:rPr>
        <w:t>Порядок работы конкурсной комиссии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3.1. Конкурсная комиссия состоит из председателя конкурсной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заместителя председателя конкурсной комиссии, секретаря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 и членов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3.2. Председатель конкурсной комиссии: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ведет заседание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lastRenderedPageBreak/>
        <w:t>3) определяет дату, время и место проведения заседания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комиссии, утверждает повестку дня;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3.3. В случае временного отсутствия председателя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его обязанности исполняет заместитель председателя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3.4. Секретарь конкурсной комиссии: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2) информирует членов комиссии об очередном заседании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3) готовит проекты повестки дня очередного заседания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5) участвует во всех мероприятиях, проводимых конкурсной комиссией,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получает материалы по ее деятельности, обеспечивает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делопроизводства конкурсной комиссии, выполняет иные функции,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с работой конкурсной комиссии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3.5.В случае временного отсутствия секретаря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исполнение его обязанностей по поручению председателя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 возлагается на одного из членов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3.6. Члены конкурсной комиссии принимают личное участие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заседаниях и имеют право вносить предложения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 xml:space="preserve"> получать пояснения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рассматриваемым вопросам.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3.7. Конкурсная комиссия правомочна проводить заседания и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решения, если на заседании присутствует не менее 3/4 ее членов.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3.8. Решение конкурсной комиссии по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представленных на конкурсный отбор инициативных проектов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от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членов конкурсной комиссии.</w:t>
      </w:r>
    </w:p>
    <w:p w:rsidR="00B75F1E" w:rsidRPr="00FF7AD6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3.9.Решение конкурсной комиссии оформляется протоколом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комиссии, который подписывается председателем комиссии и секретарем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комиссии в течение 2 рабочих дней со дня заседания и в течение 3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дней со дня заседания комиссии направляется Главе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5F1E" w:rsidRPr="007E7F73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3.10. Организационно-техническое обеспечение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организацию и ведение делопроизводства конкурсной комиссии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1E" w:rsidRDefault="00B75F1E" w:rsidP="00B7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77" w:rsidRDefault="00E46077"/>
    <w:sectPr w:rsidR="00E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E"/>
    <w:rsid w:val="000703E6"/>
    <w:rsid w:val="00153B97"/>
    <w:rsid w:val="0033350F"/>
    <w:rsid w:val="004D6A99"/>
    <w:rsid w:val="00B15D94"/>
    <w:rsid w:val="00B75F1E"/>
    <w:rsid w:val="00D2415A"/>
    <w:rsid w:val="00E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F1E"/>
    <w:pPr>
      <w:spacing w:after="0" w:line="240" w:lineRule="auto"/>
    </w:pPr>
  </w:style>
  <w:style w:type="table" w:styleId="a4">
    <w:name w:val="Table Grid"/>
    <w:basedOn w:val="a1"/>
    <w:uiPriority w:val="59"/>
    <w:rsid w:val="00B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F1E"/>
    <w:pPr>
      <w:spacing w:after="0" w:line="240" w:lineRule="auto"/>
    </w:pPr>
  </w:style>
  <w:style w:type="table" w:styleId="a4">
    <w:name w:val="Table Grid"/>
    <w:basedOn w:val="a1"/>
    <w:uiPriority w:val="59"/>
    <w:rsid w:val="00B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2021-10-11T07:02:00Z</cp:lastPrinted>
  <dcterms:created xsi:type="dcterms:W3CDTF">2021-08-19T06:51:00Z</dcterms:created>
  <dcterms:modified xsi:type="dcterms:W3CDTF">2021-10-13T07:12:00Z</dcterms:modified>
</cp:coreProperties>
</file>